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75"/>
        <w:gridCol w:w="3269"/>
        <w:gridCol w:w="316"/>
        <w:gridCol w:w="1770"/>
      </w:tblGrid>
      <w:tr w:rsidR="006638AC" w14:paraId="2610AC86" w14:textId="77777777" w:rsidTr="006638AC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25AD038B" w:rsidR="006638AC" w:rsidRPr="00941ED5" w:rsidRDefault="006638AC" w:rsidP="006638AC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12E6507B" w14:textId="39684C13" w:rsidR="006638AC" w:rsidRPr="008A28AA" w:rsidRDefault="006638AC" w:rsidP="006638AC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086" w:type="dxa"/>
            <w:gridSpan w:val="2"/>
            <w:tcBorders>
              <w:bottom w:val="nil"/>
            </w:tcBorders>
          </w:tcPr>
          <w:p w14:paraId="28AA3DC6" w14:textId="0A4BAC14" w:rsidR="006638AC" w:rsidRPr="00941ED5" w:rsidRDefault="006638AC" w:rsidP="00663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4153FD4" wp14:editId="0E3E633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1B84E0BB" w:rsidR="00132AAB" w:rsidRPr="00D40E76" w:rsidRDefault="000929DA" w:rsidP="0009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Selenomethionin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(CAS-Nr. 1464-42-2 Racemat, 3211-76-5 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Selenomethionin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13091-98-0 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Selenomethionin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2E0D2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5F4C14C6" w14:textId="77777777" w:rsidR="000929DA" w:rsidRDefault="000929DA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B62E65" wp14:editId="00DB7DB6">
                  <wp:extent cx="508635" cy="508635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E9CFD" w14:textId="77777777" w:rsidR="00383BE6" w:rsidRDefault="000929DA" w:rsidP="0023508C">
            <w:pPr>
              <w:pStyle w:val="ListParagraph"/>
              <w:tabs>
                <w:tab w:val="left" w:pos="34"/>
              </w:tabs>
              <w:ind w:left="0"/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A38719C" wp14:editId="32148B48">
                  <wp:extent cx="508635" cy="492760"/>
                  <wp:effectExtent l="0" t="0" r="0" b="0"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0E97FA2" w14:textId="38D2348E" w:rsidR="00383BE6" w:rsidRPr="00383BE6" w:rsidRDefault="00383BE6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83BE6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35587F87" w14:textId="6D8C4B59" w:rsidR="000929DA" w:rsidRPr="00383BE6" w:rsidRDefault="000929DA" w:rsidP="0023508C">
            <w:pPr>
              <w:pStyle w:val="ListParagraph"/>
              <w:tabs>
                <w:tab w:val="left" w:pos="34"/>
              </w:tabs>
              <w:ind w:left="0"/>
            </w:pP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B3D2589" w14:textId="77777777" w:rsidR="00383BE6" w:rsidRPr="002E0D2B" w:rsidRDefault="00383BE6" w:rsidP="0023508C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Giftig bei Verschlucken (H301) oder Einatmen (H331).</w:t>
            </w:r>
          </w:p>
          <w:p w14:paraId="0AFAE23A" w14:textId="77777777" w:rsidR="00383BE6" w:rsidRPr="002E0D2B" w:rsidRDefault="00383BE6" w:rsidP="0023508C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Kann die Organe schädigen bei längerer oder wiederholter Exposition (H373).</w:t>
            </w:r>
          </w:p>
          <w:p w14:paraId="241412E0" w14:textId="77777777" w:rsidR="004D1DA6" w:rsidRPr="002E0D2B" w:rsidRDefault="004D1DA6" w:rsidP="004D1DA6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WGK: 3, stark wassergefährdend. </w:t>
            </w:r>
          </w:p>
          <w:p w14:paraId="259BED57" w14:textId="6313F809" w:rsidR="004D1DA6" w:rsidRPr="002E0D2B" w:rsidRDefault="00383BE6" w:rsidP="004D1DA6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Sehr giftig </w:t>
            </w:r>
            <w:r w:rsidR="004D1DA6" w:rsidRPr="002E0D2B">
              <w:rPr>
                <w:rFonts w:ascii="Arial" w:hAnsi="Arial" w:cs="Arial"/>
                <w:bCs/>
                <w:sz w:val="22"/>
                <w:szCs w:val="22"/>
              </w:rPr>
              <w:t>für Wasserorganismen mit langfristiger Wirkung (H410).</w:t>
            </w:r>
          </w:p>
          <w:p w14:paraId="7AF29B43" w14:textId="77777777" w:rsidR="008620D4" w:rsidRPr="002E0D2B" w:rsidRDefault="008620D4" w:rsidP="00630AC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1E63AAA6" w:rsidR="003E0675" w:rsidRPr="002E0D2B" w:rsidRDefault="003E0675" w:rsidP="003E0675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Selenomethionin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setzt beim Erhitzen/Autoklavieren oder im Kontakt mit starken Oxidationsmitteln stark toxische Gase frei (Selenverbindungen der Oxidationsstufe –II, z.B. 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Methylselenan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) frei. Daher ist eine Methode der Inaktivierung zu verwenden, die ohne Autoklavieren auskommt, wie z.B. Inaktivierung von GVOs durch Kaliumpermanganat (zu 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Selenodioxid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3124DC30" w:rsidR="00941ED5" w:rsidRPr="002E0D2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33E18" w14:paraId="6DC5CE02" w14:textId="77777777" w:rsidTr="001343F4">
        <w:trPr>
          <w:trHeight w:val="276"/>
        </w:trPr>
        <w:tc>
          <w:tcPr>
            <w:tcW w:w="9282" w:type="dxa"/>
            <w:gridSpan w:val="6"/>
          </w:tcPr>
          <w:p w14:paraId="2B193B04" w14:textId="491570DF" w:rsidR="00E33E18" w:rsidRPr="002E0D2B" w:rsidRDefault="00E33E18" w:rsidP="00E33E1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2778473C" w14:textId="4C517EF8" w:rsidR="00E33E18" w:rsidRPr="002E0D2B" w:rsidRDefault="00E33E18" w:rsidP="00E33E1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Geeignete Handschuhe tragen, z.B. 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Nitrilkautschtuk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(0,1 mm).</w:t>
            </w:r>
          </w:p>
          <w:p w14:paraId="6D80D671" w14:textId="6E137168" w:rsidR="00E33E18" w:rsidRPr="002E0D2B" w:rsidRDefault="00E33E18" w:rsidP="00E33E1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Darf nicht in die Kanalisation/Abwasser/Umwelt gelangen!</w:t>
            </w:r>
          </w:p>
          <w:p w14:paraId="65DE8F65" w14:textId="77777777" w:rsidR="00E33E18" w:rsidRPr="002E0D2B" w:rsidRDefault="00E33E18" w:rsidP="00E33E1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75B8191F" w14:textId="15A0170D" w:rsidR="00705680" w:rsidRDefault="00E33E18" w:rsidP="002E0D2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Inaktivierung von </w:t>
            </w:r>
            <w:proofErr w:type="spellStart"/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Selenomethionin</w:t>
            </w:r>
            <w:proofErr w:type="spellEnd"/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-haltigen GVOs (Medien):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C5761C" w:rsidRPr="002E0D2B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1) 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Abzentrifugierte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Medien bzw. Medien bis zu einer Zel</w:t>
            </w:r>
            <w:r w:rsidR="00A05EB3" w:rsidRPr="002E0D2B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dichte von OD600 = 1,5 werden </w:t>
            </w:r>
            <w:r w:rsidR="006638AC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  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mit 0.1% Kaliumpermanganat versetzt, und nach der vollständigen Auflösung für 30 min </w:t>
            </w:r>
            <w:r w:rsidR="006638AC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  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inkubiert.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C5761C" w:rsidRPr="002E0D2B">
              <w:rPr>
                <w:rFonts w:ascii="Arial" w:hAnsi="Arial" w:cs="Arial"/>
                <w:bCs/>
                <w:sz w:val="22"/>
                <w:szCs w:val="22"/>
              </w:rPr>
              <w:t xml:space="preserve">2)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Bei höheren Zelldichten wird 3% Kaliumpermanganat zugegeben und nach der </w:t>
            </w:r>
            <w:r w:rsidR="006638AC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  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>vollständigen Auflösung für 15 min inkubiert.</w:t>
            </w:r>
          </w:p>
          <w:p w14:paraId="348F0529" w14:textId="70AD2C6C" w:rsidR="006638AC" w:rsidRPr="006638AC" w:rsidRDefault="006638AC" w:rsidP="002E0D2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638AC"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2E0D2B" w:rsidRDefault="00941ED5" w:rsidP="002E0D2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6505C887" w:rsidR="008620D4" w:rsidRPr="002E0D2B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2E0D2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29EACA4C" w:rsidR="00144C6C" w:rsidRPr="002E0D2B" w:rsidRDefault="00144C6C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Jeglichen Kontakt vermeiden</w:t>
            </w:r>
            <w:r w:rsidR="003E0675" w:rsidRPr="002E0D2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3527555" w14:textId="1B90E206" w:rsidR="0073501C" w:rsidRPr="002E0D2B" w:rsidRDefault="00144C6C" w:rsidP="003E0675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proofErr w:type="spellStart"/>
            <w:r w:rsidR="003E0675" w:rsidRPr="002E0D2B">
              <w:rPr>
                <w:rFonts w:ascii="Arial" w:hAnsi="Arial" w:cs="Arial"/>
                <w:bCs/>
                <w:sz w:val="22"/>
                <w:szCs w:val="22"/>
              </w:rPr>
              <w:t>Selenomethionin</w:t>
            </w:r>
            <w:proofErr w:type="spellEnd"/>
            <w:r w:rsidR="003E0675" w:rsidRPr="002E0D2B">
              <w:rPr>
                <w:rFonts w:ascii="Arial" w:hAnsi="Arial" w:cs="Arial"/>
                <w:bCs/>
                <w:sz w:val="22"/>
                <w:szCs w:val="22"/>
              </w:rPr>
              <w:t xml:space="preserve">-haltiger Abfall“ 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>entsorgen</w:t>
            </w: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0BA9B97" w14:textId="75B100F0" w:rsidR="003E0675" w:rsidRPr="002E0D2B" w:rsidRDefault="00A0429C" w:rsidP="002E0D2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Ein</w:t>
            </w: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dringen in Boden, Gewäs</w:t>
            </w: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ser und Kanalisation ver</w:t>
            </w: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hindern!</w:t>
            </w: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2E0D2B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2E0D2B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2E0D2B" w14:paraId="788F7B73" w14:textId="77777777" w:rsidTr="002E0D2B">
        <w:trPr>
          <w:trHeight w:val="276"/>
        </w:trPr>
        <w:tc>
          <w:tcPr>
            <w:tcW w:w="1242" w:type="dxa"/>
          </w:tcPr>
          <w:p w14:paraId="256A2770" w14:textId="77777777" w:rsidR="002E0D2B" w:rsidRDefault="002E0D2B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4FE56F5" wp14:editId="5C5AE0AD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83504" w14:textId="39267586" w:rsidR="002E0D2B" w:rsidRPr="00C15610" w:rsidRDefault="002E0D2B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3776003" wp14:editId="65AB0DC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1C35F0D4" w14:textId="77777777" w:rsidR="002E0D2B" w:rsidRPr="002E0D2B" w:rsidRDefault="002E0D2B" w:rsidP="002E0D2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C64A87D" w14:textId="77777777" w:rsidR="002E0D2B" w:rsidRPr="002E0D2B" w:rsidRDefault="002E0D2B" w:rsidP="002E0D2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Nach Einatmen von Stäuben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>: an frische Luft bringen, ruhig lagern.</w:t>
            </w:r>
          </w:p>
          <w:p w14:paraId="758220EC" w14:textId="1CA0BB73" w:rsidR="002E0D2B" w:rsidRPr="002E0D2B" w:rsidRDefault="002E0D2B" w:rsidP="002E0D2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Nach Augenkontakt: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 mind. 10 min mit frischem Wasser spülen, Arzt konsultieren, Kontaktlinsen wenn möglich entfernen.</w:t>
            </w:r>
          </w:p>
          <w:p w14:paraId="5DF95C38" w14:textId="4FBF882E" w:rsidR="002E0D2B" w:rsidRPr="002E0D2B" w:rsidRDefault="002E0D2B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2E0D2B">
              <w:rPr>
                <w:rFonts w:ascii="Arial" w:hAnsi="Arial" w:cs="Arial"/>
                <w:bCs/>
                <w:sz w:val="22"/>
                <w:szCs w:val="22"/>
              </w:rPr>
              <w:t xml:space="preserve">: mit Seife und viel Wasser abwaschen. </w:t>
            </w:r>
          </w:p>
          <w:p w14:paraId="532CCBB3" w14:textId="227DF97D" w:rsidR="002E0D2B" w:rsidRPr="002E0D2B" w:rsidRDefault="002E0D2B" w:rsidP="002E0D2B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2E0D2B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2E0D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2E0D2B" w14:paraId="79ECBFC9" w14:textId="77777777" w:rsidTr="002E0D2B">
        <w:trPr>
          <w:trHeight w:val="276"/>
        </w:trPr>
        <w:tc>
          <w:tcPr>
            <w:tcW w:w="1242" w:type="dxa"/>
          </w:tcPr>
          <w:p w14:paraId="7EBF4A23" w14:textId="3A3376E4" w:rsidR="002E0D2B" w:rsidRPr="0073501C" w:rsidRDefault="002E0D2B" w:rsidP="004D1DA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364DADF" wp14:editId="2F2D993F">
                  <wp:extent cx="508635" cy="508635"/>
                  <wp:effectExtent l="0" t="0" r="0" b="0"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55ECD679" w14:textId="07E07C60" w:rsidR="002E0D2B" w:rsidRPr="002E0D2B" w:rsidRDefault="002E0D2B" w:rsidP="004D1DA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E0D2B">
              <w:rPr>
                <w:rFonts w:ascii="Arial" w:hAnsi="Arial" w:cs="Arial"/>
                <w:bCs/>
                <w:sz w:val="22"/>
                <w:szCs w:val="22"/>
              </w:rPr>
              <w:t>Stoff/Produkt-Abfälle in separatem Container „</w:t>
            </w:r>
            <w:proofErr w:type="spellStart"/>
            <w:r w:rsidRPr="002E0D2B">
              <w:rPr>
                <w:rFonts w:ascii="Arial" w:hAnsi="Arial" w:cs="Arial"/>
                <w:bCs/>
                <w:sz w:val="22"/>
                <w:szCs w:val="22"/>
              </w:rPr>
              <w:t>Selenomethionin</w:t>
            </w:r>
            <w:proofErr w:type="spellEnd"/>
            <w:r w:rsidRPr="002E0D2B">
              <w:rPr>
                <w:rFonts w:ascii="Arial" w:hAnsi="Arial" w:cs="Arial"/>
                <w:bCs/>
                <w:sz w:val="22"/>
                <w:szCs w:val="22"/>
              </w:rPr>
              <w:t>-haltiger Abfall“ sammeln</w:t>
            </w:r>
            <w:r w:rsidR="006638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407EC64D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5C59BC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5D1D" w14:textId="77777777" w:rsidR="0082765A" w:rsidRDefault="0082765A" w:rsidP="00A150D1">
      <w:r>
        <w:separator/>
      </w:r>
    </w:p>
  </w:endnote>
  <w:endnote w:type="continuationSeparator" w:id="0">
    <w:p w14:paraId="24500635" w14:textId="77777777" w:rsidR="0082765A" w:rsidRDefault="0082765A" w:rsidP="00A1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325C" w14:textId="4CA8B391" w:rsidR="00A150D1" w:rsidRDefault="006638AC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42A1" w14:textId="77777777" w:rsidR="0082765A" w:rsidRDefault="0082765A" w:rsidP="00A150D1">
      <w:r>
        <w:separator/>
      </w:r>
    </w:p>
  </w:footnote>
  <w:footnote w:type="continuationSeparator" w:id="0">
    <w:p w14:paraId="286837A5" w14:textId="77777777" w:rsidR="0082765A" w:rsidRDefault="0082765A" w:rsidP="00A1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929DA"/>
    <w:rsid w:val="00132AAB"/>
    <w:rsid w:val="00144C6C"/>
    <w:rsid w:val="001938AA"/>
    <w:rsid w:val="00206E65"/>
    <w:rsid w:val="002304BB"/>
    <w:rsid w:val="0023482E"/>
    <w:rsid w:val="0023508C"/>
    <w:rsid w:val="002D6DCF"/>
    <w:rsid w:val="002E0D2B"/>
    <w:rsid w:val="002E4957"/>
    <w:rsid w:val="00300501"/>
    <w:rsid w:val="00353F64"/>
    <w:rsid w:val="00383BE6"/>
    <w:rsid w:val="003E0675"/>
    <w:rsid w:val="004D1DA6"/>
    <w:rsid w:val="004E3A61"/>
    <w:rsid w:val="004E4E14"/>
    <w:rsid w:val="00535EFE"/>
    <w:rsid w:val="005C25D2"/>
    <w:rsid w:val="005C59BC"/>
    <w:rsid w:val="00600992"/>
    <w:rsid w:val="0062605F"/>
    <w:rsid w:val="00630AC3"/>
    <w:rsid w:val="006638AC"/>
    <w:rsid w:val="006D6C38"/>
    <w:rsid w:val="006F5C32"/>
    <w:rsid w:val="00705680"/>
    <w:rsid w:val="0073501C"/>
    <w:rsid w:val="0082765A"/>
    <w:rsid w:val="00835B1E"/>
    <w:rsid w:val="00854920"/>
    <w:rsid w:val="008620D4"/>
    <w:rsid w:val="008A0124"/>
    <w:rsid w:val="008A28AA"/>
    <w:rsid w:val="008F58EE"/>
    <w:rsid w:val="00941ED5"/>
    <w:rsid w:val="009460FD"/>
    <w:rsid w:val="00963997"/>
    <w:rsid w:val="00A0429C"/>
    <w:rsid w:val="00A05EB3"/>
    <w:rsid w:val="00A150D1"/>
    <w:rsid w:val="00AD40B1"/>
    <w:rsid w:val="00B1528C"/>
    <w:rsid w:val="00B62F02"/>
    <w:rsid w:val="00B8797B"/>
    <w:rsid w:val="00BA62FB"/>
    <w:rsid w:val="00BF7008"/>
    <w:rsid w:val="00C15610"/>
    <w:rsid w:val="00C5761C"/>
    <w:rsid w:val="00D40E76"/>
    <w:rsid w:val="00E33E18"/>
    <w:rsid w:val="00E816B9"/>
    <w:rsid w:val="00F15B00"/>
    <w:rsid w:val="00F41A05"/>
    <w:rsid w:val="00F74BE9"/>
    <w:rsid w:val="00F922C1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0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0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50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0D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5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2018-11-15T11:31:00Z</dcterms:created>
  <dcterms:modified xsi:type="dcterms:W3CDTF">2018-11-15T11:31:00Z</dcterms:modified>
</cp:coreProperties>
</file>